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d0242a4bdff4b7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51636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USTANOVA RAZVOJNA AGENCIJA ČAZMA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248.376,84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247.034,34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249.347,02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239.444,87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7.589,47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4.951,88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6.296,47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Ukupni prihodi poslovanja iznose 247.034,34 eura, dok su ukupni rashodi poslovanja 239.444,87 eura, što rezultira viškom prihoda poslovanja od 7.589,47 eura. S obzirom na rashode za nabavu nefinancijske imovine u iznosu od 1.293,00 eura bez prihoda od njezine prodaje te bez primitaka  vezanih uz financijsku imovinu ostvaren je manjak prihoda od nefinancijske imovine u istom iznosu. </w:t>
      </w:r>
    </w:p>
    <w:p>
      <w:r>
        <w:t xml:space="preserve">Ukupan višak prihoda i primitaka od 6.296,47 eura utvrđen je kao rezultat viška prihoda poslovanja umanjen za manjak nastao po osnovi nabave nefinancijske imovine, pri čemu u dijelu financijske imovine i zaduživanja nije bilo promjena.</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49.152,91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46.532,55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w:t>
            </w:r>
          </w:p>
        </w:tc>
      </w:tr>
    </w:tbl>
    <w:p>
      <w:pPr>
        <w:spacing w:before="0" w:after="0"/>
      </w:pPr>
    </w:p>
    <w:p>
      <w:pPr>
        <w:jc w:val="both"/>
      </w:pPr>
      <w:r>
        <w:t xml:space="preserve">Prihodi od pruženih usluga iznosili su 49.152,91 euro u 2024. godini, dok su u 2025. godini ostvareni u iznosu od 46.532,55 eura, što predstavlja pad od 5,3% u odnosu na prethodnu godinu. Smanjenje prihoda može se pripisati promjenama u obimu pruženih usluga. Navedeni prihod ostvaren je od prodaje ulaznica za biološki bazen, najma ugostiteljskog objekta i infrastrukture bazena te izrade dokumentacije za javnu nabavu.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Pr>
      <w:r>
        <w:t xml:space="preserve">Tekuće donacije u iznosu od 2.000,00 eura podrazumijevaju primljenu donaciju od pravnih osoba temeljem ugovora o sufinanciranju događanja „Ljeto na biobazenu“ sa Turističkom zajednicom Bjelovarsko-bilogorske županije. U odnosu na prethodno razdoblje nema promjena u iznosima.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194.198,93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197.536,79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w:t>
            </w:r>
          </w:p>
        </w:tc>
      </w:tr>
    </w:tbl>
    <w:p>
      <w:pPr>
        <w:spacing w:before="0" w:after="0"/>
      </w:pPr>
    </w:p>
    <w:p>
      <w:pPr>
        <w:jc w:val="both"/>
      </w:pPr>
      <w:r>
        <w:t xml:space="preserve">Prihodi na računu 6711 podrazumijevaju sredstva iz nadležnog proračuna koja su namijenjena za pokriće troškova potrebnih za svakodnevno funkcioniranje Ustanove. Navedeni prihod predstavlja temeljni izvor financiranja, odnosno čini najveći dio ukupnih prihoda Ustanove koji su u odnosu na prethodno razdoblje u blagom porastu.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w:t>
            </w:r>
          </w:p>
        </w:tc>
      </w:tr>
    </w:tbl>
    <w:p>
      <w:pPr>
        <w:spacing w:before="0" w:after="0"/>
      </w:pPr>
    </w:p>
    <w:p>
      <w:pPr>
        <w:jc w:val="both"/>
      </w:pPr>
      <w:r>
        <w:t xml:space="preserve">Iznos od 965,00 eura obuhvaća sredstva koja je nadležni proračun dodijelio za nabavu nefinancijske imovine, odnosno opremu i uređaje potrebne za rad biološkog bazena.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249.347,02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239.444,87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w:t>
            </w:r>
          </w:p>
        </w:tc>
      </w:tr>
    </w:tbl>
    <w:p>
      <w:pPr>
        <w:spacing w:before="0" w:after="0"/>
      </w:pPr>
    </w:p>
    <w:p>
      <w:pPr>
        <w:jc w:val="both"/>
      </w:pPr>
      <w:r>
        <w:t xml:space="preserve">Ukupni rashodi poslovanja u 2025. godini manji su u odnosu na prethodnu godinu, što je rezultat smanjenja  materijalnih rashoda, dok su rashodi za zaposlene i financijski rashodi blago povećani.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170.392,75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173.554,11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w:t>
            </w:r>
          </w:p>
        </w:tc>
      </w:tr>
    </w:tbl>
    <w:p>
      <w:pPr>
        <w:spacing w:before="0" w:after="0"/>
      </w:pPr>
    </w:p>
    <w:p>
      <w:pPr>
        <w:jc w:val="both"/>
      </w:pPr>
      <w:r>
        <w:t xml:space="preserve">Rashodi za zaposlene bilježe blagi porast, prvenstveno zbog povećanja bruto plaća za redovan rad, dok su izdaci za prekovremeni rad smanjeni. Ostali rashodi za zaposlene i doprinosi na plaće blago su smanjeni, pa ukupna kretanja ukazuju na stabilnu razinu troškova rada uz manju preraspodjelu unutar strukture, odnosno došlo je do promjena u zapošljavanju u tijeku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78.516,51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w:t>
            </w:r>
          </w:p>
        </w:tc>
      </w:tr>
    </w:tbl>
    <w:p>
      <w:pPr>
        <w:spacing w:before="0" w:after="0"/>
      </w:pPr>
    </w:p>
    <w:p>
      <w:pPr>
        <w:jc w:val="both"/>
      </w:pPr>
      <w:r>
        <w:t xml:space="preserve">Materijalni rashodi značajno su smanjeni, ponajviše zbog manjeg obujma rashoda za usluge i naknada troškova zaposlenima. Naknade troškova zaposlenima podrazumijevaju smanjenje rashoda službenih putovanja i stručnog usavršavanja obzirom na smanjenje broja zaposlenih. Istodobno je zabilježen porast rashoda za materijal i dijelove za održavanje te komunalne usluge, kao i intelektualne i osobne usluge koje se većim dijelom odnosi na povećane  troškove vezane uz rad biološkog bazena. </w:t>
      </w:r>
    </w:p>
    <w:p>
      <w:r>
        <w:t xml:space="preserve"> </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pPr>
        <w:jc w:val="both"/>
      </w:pPr>
      <w:r>
        <w:t xml:space="preserve">Porast financijskih rashoda u odnosu na prethodnu godinu posljedica je jednokratnih troškova povezanih sa zatvaranjem žiro računa, koji su evidentirani u okviru bankarskih usluga i usluga platnog prometa.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w:t>
            </w:r>
          </w:p>
        </w:tc>
      </w:tr>
    </w:tbl>
    <w:p>
      <w:pPr>
        <w:spacing w:before="0" w:after="0"/>
      </w:pPr>
    </w:p>
    <w:p>
      <w:pPr>
        <w:jc w:val="both"/>
      </w:pPr>
      <w:r>
        <w:t xml:space="preserve">Rashodi za nabavu nefinancijske imovine, odnosno postrojenja i opreme u 2025. godini iznosili su manje u odnosu na prethodnu godinu što je vidljivo po indeksu 26,1. U strukturi rashoda evidentirana je nabava uredske opreme i namještaja te uređaja, strojeva i opreme za ostale namjene, dok u promatranom razdoblju nije bilo ulaganja u opremu za održavanje i zaštitu. Smanjenje ukupnih rashoda rezultat je manjeg obujma investicijskih aktivnosti u odnosu na 2024. godinu.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w:t>
            </w:r>
          </w:p>
        </w:tc>
      </w:tr>
    </w:tbl>
    <w:p>
      <w:pPr>
        <w:spacing w:before="0" w:after="0"/>
      </w:pPr>
    </w:p>
    <w:p>
      <w:pPr>
        <w:jc w:val="both"/>
      </w:pPr>
      <w:r>
        <w:t xml:space="preserve">Iznos prenesenog manjka prihoda razlikuje se na početku i kraju izvještajnog razdoblja zbog godišnjeg obračuna paušalnog poreza na dohodak i njegove korekcije u iznosu od 551,74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w:t>
            </w:r>
          </w:p>
        </w:tc>
      </w:tr>
    </w:tbl>
    <w:p>
      <w:pPr>
        <w:spacing w:before="0" w:after="0"/>
      </w:pPr>
    </w:p>
    <w:p>
      <w:pPr>
        <w:jc w:val="both"/>
      </w:pPr>
      <w:r>
        <w:t xml:space="preserve">Nefinancijska imovina na dan 31. prosinca 2025. godine iznosi 6.579,63 eura, a odnosi se pretežito na dugotrajnu proizvedenu imovinu. Smanjenje vrijednosti u odnosu na početno stanje (7.803,31 euro) rezultat je obračuna ispravka vrijednosti dugotrajne imovine tijekom izvještajnog razdoblja.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211,0</w:t>
            </w:r>
          </w:p>
        </w:tc>
      </w:tr>
    </w:tbl>
    <w:p>
      <w:pPr>
        <w:spacing w:before="0" w:after="0"/>
      </w:pPr>
    </w:p>
    <w:p>
      <w:pPr>
        <w:jc w:val="both"/>
      </w:pPr>
      <w:r>
        <w:t xml:space="preserve">Financijska imovina na dan 31. prosinca 2025. godine iznosi 1.918,59 eura, a odnosi se na potraživanja nastala u okviru redovnog poslovanja Ustanove. Navedeni iznos povećan je u odnosu na prethodno razdoblje zbog povećanja potraživanja za više plaćeni porez na dobit koji Ustanova plaća kvartalno, budući da je u sustavu paušalnog poreza na dobit te potraživanja za sredstva uplaćena u nadležni proračun.</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 tekućoj godini došlo je do zatvaranja žiro računa Ustanove uslijed prelaska na centralizirani sustav riznice. Sredstva koja su se ranije nalazila na žiro računu Ustanove prenesena su na račun nadležnog proračuna, čime je evidentirano potraživanje na računu 167.</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w:t>
            </w:r>
          </w:p>
        </w:tc>
      </w:tr>
    </w:tbl>
    <w:p>
      <w:pPr>
        <w:spacing w:before="0" w:after="0"/>
      </w:pPr>
    </w:p>
    <w:p>
      <w:r>
        <w:t xml:space="preserve">Rezultat poslovanja je manjak prihoda za pokriće u sljedećem razdoblju u iznosu od 9.025,64 eura a dobiven je prebijanjem manjka iz izvora 1.1 Opći prihodi i primici (10.268,60) i viška iz izvora 3.6 Vlastiti prihodi (1.242,96). Sukladno Pravilniku o proračunskom računovodstvu i Računskom planu članku 215 (NN 158/23) provedena je korekcija rezultata po izvoru 1.1 Opći prihodi i primici zbog nabave nefinancijske imovine.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w:t>
            </w:r>
          </w:p>
        </w:tc>
      </w:tr>
    </w:tbl>
    <w:p>
      <w:pPr>
        <w:spacing w:before="0" w:after="0"/>
      </w:pPr>
    </w:p>
    <w:p>
      <w:r>
        <w:t xml:space="preserve">Manjak prihoda od nefinancijske imovine nastao je zbog nabave uredskog namještaja u 2025. godini, financiranog iz izvora 3.1 Vlastiti prihodi. Korekcija rezultata za nabavu imovine bit će provedena u 2025. godini, sukladno Odluci o raspodjeli rezultata poslovanja.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254.298,90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240.737,87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w:t>
            </w:r>
          </w:p>
        </w:tc>
      </w:tr>
    </w:tbl>
    <w:p>
      <w:pPr>
        <w:spacing w:before="0" w:after="0"/>
      </w:pPr>
    </w:p>
    <w:p>
      <w:pPr>
        <w:jc w:val="both"/>
      </w:pPr>
      <w:r>
        <w:t xml:space="preserve">Rashodi su ostvareni u okviru funkcijske klasifikacije 04 - Ekonomski poslovi, u ukupnom iznosu od 240.737,87 eura, dok su u istom razdoblju prethodne godine iznosili 254.298,90 eura. Navedeno predstavlja smanjenje rashoda u odnosu na prethodnu godinu, što je vidljivo kroz indeks od 94,7. Razlika u ostvarenim rashodima rezultat je smanjenog opsega aktivnosti i racionalizacije troškova u okviru navedenih ekonomskih poslova.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 izvještajnom razdoblju evidentirane su promjene na stavkama vrijednosti imovine koje se odnose na proizvedenu dugotrajnu nefinancijsku imovinu. U 2025. godini iskazana je vrijednost u iznosu od 2.516,00, koja se u cijelosti odnosi na stavku proizvedene dugotrajne imovine. Navedeni iznos predstavlja smanjenje knjigovodstvene vrijednosti imovine nastalo temeljem evidentiranja ispravka vrijednosti dugotrajne nefinancijske imovine, sukladno odredbama Pravilnika o proračunskom računovodstvu i Računskom planu.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Navedeni iznos odnosi se na prenesene obveze iz prethodnog obračunskog razdoblja, odnosno iznos od 16.007,81 euro iskazuje početno stanje obveza na dan 1. siječnja 2025. godine koje odgovara stanju obveza na kraju prosinca 2024. godine.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243.294,88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 izvještajnom razdoblju evidentirano je povećanje obveza u ukupnom iznosu od 243.294,88 eura koje se odnosi na redovno poslovanje ustanove, prvenstveno na obveze za zaposlene, materijalne rashode te ostale tekuće obveze povezane s provedbom djelatnosti ustanove.</w:t>
      </w:r>
      <w:r>
        <w:br/>
      </w:r>
      <w:r>
        <w:t xml:space="preserve">Nisu evidentirane obveze po osnovi zaduživanja (krediti i zajmovi), izdavanja vrijednosnih papira niti značajne obveze po osnovi subvencija ili kapitalnih pomoći.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Dospjele obveze na kraju izvještajnog razdoblja iznose 10,62 eura, a odnose se na prekoračenja od 1 do 60 dana, odnosno na obveze za pristojbe i naknade u istom iznosu. Javna ustanova Razvojna agencija Čazma redovito podmiruje svoje obveze stoga ne postoje značajna kašnjenja u plaćanju niti opterećenja po osnovi zaduživanja.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Nedospjele obveze na dan 31.12.2025. iznose 11.261,61 euro a sastoje se od:</w:t>
      </w:r>
    </w:p>
    <w:p>
      <w:r>
        <w:t xml:space="preserve">- 231 - obveze za zaposlene u iznosu od 9.367,70 eura, odnosno plaću za prosinac 2025. godine čija je isplata bila u siječnju 2026. godine</w:t>
      </w:r>
    </w:p>
    <w:p>
      <w:r>
        <w:t xml:space="preserve">- 232 - obveze za materijalne rashode u iznosu od 893,91 eura koje se odnose na usluge telefona, prijevoza, komunalne usluge, te obveze za najamnine </w:t>
      </w:r>
    </w:p>
    <w:p>
      <w:r>
        <w:t xml:space="preserve">- 272 – obveze za jamčevine u iznosu 1.000,00 eura, jamčevina natjecatelja koji dobije u zakup poslovni prostor zadržava se kao beskamatni depozit za cijelo vrijeme trajanja zakupa kao osiguranje redovnog podmirenja obveza</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3ebf35a6c4946f6" /></Relationships>
</file>